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Fundación se constituye  en septiembre de 1982, como una fundación privada, pasando a formar parte del sector público fundacional con la promulgación de la Ley 50/2002, de 26 de diciembre de  Fundaciones, siendo su objeto la promoción y el desarrollo de la artesanía e historia del vidrio, su fabricación artística y demás actividades culturales relacionadas con la técnica del vidrio.   Son fines específicos de la Fundación los siguientes:</w:t>
      </w:r>
    </w:p>
    <w:p>
      <w:pPr/>
      <w:r>
        <w:rPr/>
        <w:t xml:space="preserve">La Fundación, atendidas las circunstancias de cada momento, tendrá plena libertad para proyectar su actuación hacia cualquiera de sus fines, según los objetivos concretos que, a juicio de su Patronato, resulten prioritarios.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2026-07-01T21:38:04+00:00</dcterms:created>
  <dcterms:modified xsi:type="dcterms:W3CDTF">2026-07-01T21:38:04+00:00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