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FCNV queda sometida a la auditoria y supervisión de  de la Intervención General de la Administración del Estado pudiendose consultar los informes en el </w:t>
      </w:r>
    </w:p>
    <w:p>
      <w:pPr/>
      <w:r>
        <w:rPr/>
        <w:t xml:space="preserve">Por otra parte, la entidad podría ser auditada por el Tribunal de Cuentas pudiendose consultar los informes en el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2026-07-01T21:41:42+00:00</dcterms:created>
  <dcterms:modified xsi:type="dcterms:W3CDTF">2026-07-01T21:41:42+00:00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